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FA" w:rsidRPr="007C5EFA" w:rsidRDefault="007C5EFA" w:rsidP="007C5EFA">
      <w:pPr>
        <w:pStyle w:val="Heading1"/>
        <w:pBdr>
          <w:bottom w:val="thickThinSmallGap" w:sz="24" w:space="1" w:color="auto"/>
        </w:pBdr>
        <w:rPr>
          <w:b/>
          <w:color w:val="auto"/>
        </w:rPr>
      </w:pPr>
      <w:r w:rsidRPr="007C5EFA">
        <w:rPr>
          <w:b/>
          <w:color w:val="auto"/>
        </w:rPr>
        <w:t xml:space="preserve">Bachelor of </w:t>
      </w:r>
      <w:r w:rsidR="00076276">
        <w:rPr>
          <w:b/>
          <w:color w:val="auto"/>
        </w:rPr>
        <w:t xml:space="preserve">Arts in </w:t>
      </w:r>
      <w:r w:rsidR="00B75DF8">
        <w:rPr>
          <w:b/>
          <w:color w:val="auto"/>
        </w:rPr>
        <w:t>Intercultural</w:t>
      </w:r>
      <w:r w:rsidR="00DF3A69">
        <w:rPr>
          <w:b/>
          <w:color w:val="auto"/>
        </w:rPr>
        <w:t xml:space="preserve"> </w:t>
      </w:r>
      <w:r w:rsidR="00B75DF8">
        <w:rPr>
          <w:b/>
          <w:color w:val="auto"/>
        </w:rPr>
        <w:t>Studies</w:t>
      </w:r>
    </w:p>
    <w:p w:rsidR="007C5EFA" w:rsidRDefault="007C5EFA" w:rsidP="007C5EFA">
      <w:pPr>
        <w:tabs>
          <w:tab w:val="left" w:pos="360"/>
          <w:tab w:val="left" w:pos="1080"/>
          <w:tab w:val="right" w:pos="9315"/>
        </w:tabs>
        <w:spacing w:line="250" w:lineRule="atLeast"/>
        <w:rPr>
          <w:rFonts w:ascii="Verdana" w:hAnsi="Verdana"/>
          <w:b/>
          <w:sz w:val="22"/>
        </w:rPr>
      </w:pPr>
    </w:p>
    <w:p w:rsidR="008B7B65" w:rsidRDefault="008B7B65" w:rsidP="008B7B65">
      <w:pPr>
        <w:shd w:val="clear" w:color="auto" w:fill="FFFFFF"/>
        <w:spacing w:after="150" w:line="375" w:lineRule="atLeast"/>
        <w:rPr>
          <w:rFonts w:ascii="Verdana" w:hAnsi="Verdana" w:cs="Arial"/>
          <w:color w:val="000000" w:themeColor="text1"/>
          <w:sz w:val="22"/>
          <w:szCs w:val="22"/>
        </w:rPr>
      </w:pPr>
      <w:r>
        <w:rPr>
          <w:rFonts w:ascii="Verdana" w:hAnsi="Verdana" w:cs="Arial"/>
          <w:color w:val="000000" w:themeColor="text1"/>
          <w:sz w:val="22"/>
          <w:szCs w:val="22"/>
        </w:rPr>
        <w:t xml:space="preserve">The following Program Learning Outcomes have been established by the Evangel </w:t>
      </w:r>
      <w:r w:rsidRPr="000D4A77">
        <w:rPr>
          <w:rFonts w:ascii="Verdana" w:hAnsi="Verdana" w:cs="Arial"/>
          <w:color w:val="000000" w:themeColor="text1"/>
          <w:sz w:val="22"/>
          <w:szCs w:val="22"/>
        </w:rPr>
        <w:t>faculty to define the areas of knowledge and skills that students graduating from this major degree program should have developed:</w:t>
      </w:r>
    </w:p>
    <w:tbl>
      <w:tblPr>
        <w:tblW w:w="5044" w:type="pct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"/>
        <w:gridCol w:w="9351"/>
      </w:tblGrid>
      <w:tr w:rsidR="00C54E57" w:rsidRPr="00C54E57" w:rsidTr="00BA09B8">
        <w:tc>
          <w:tcPr>
            <w:tcW w:w="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E57" w:rsidRPr="00C54E57" w:rsidRDefault="00C54E57" w:rsidP="001902E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E57" w:rsidRPr="00B75DF8" w:rsidRDefault="00C54E57" w:rsidP="00B75DF8">
            <w:pPr>
              <w:pStyle w:val="ListParagraph"/>
              <w:numPr>
                <w:ilvl w:val="0"/>
                <w:numId w:val="5"/>
              </w:numPr>
              <w:spacing w:after="22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75DF8">
              <w:rPr>
                <w:rFonts w:ascii="Helvetica" w:hAnsi="Helvetica" w:cs="Helvetica"/>
                <w:color w:val="333333"/>
                <w:sz w:val="23"/>
                <w:szCs w:val="23"/>
              </w:rPr>
              <w:t>Explain Christ’s mandate to make disciples of all nations, and the practical application of this command, based on an accurate understanding of the Bible and culture.</w:t>
            </w:r>
          </w:p>
          <w:p w:rsidR="00BA09B8" w:rsidRPr="00B75DF8" w:rsidRDefault="00BA09B8" w:rsidP="00B75DF8">
            <w:pPr>
              <w:pStyle w:val="ListParagraph"/>
              <w:numPr>
                <w:ilvl w:val="0"/>
                <w:numId w:val="5"/>
              </w:numPr>
              <w:spacing w:after="22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75DF8">
              <w:rPr>
                <w:rFonts w:ascii="Helvetica" w:hAnsi="Helvetica" w:cs="Helvetica"/>
                <w:color w:val="333333"/>
                <w:sz w:val="23"/>
                <w:szCs w:val="23"/>
              </w:rPr>
              <w:t>Communicate with at least basic proficiency in a foreign language.</w:t>
            </w:r>
          </w:p>
          <w:p w:rsidR="00BA09B8" w:rsidRPr="00B75DF8" w:rsidRDefault="00BA09B8" w:rsidP="00B75DF8">
            <w:pPr>
              <w:pStyle w:val="ListParagraph"/>
              <w:numPr>
                <w:ilvl w:val="0"/>
                <w:numId w:val="5"/>
              </w:numPr>
              <w:spacing w:after="22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75DF8">
              <w:rPr>
                <w:rFonts w:ascii="Helvetica" w:hAnsi="Helvetica" w:cs="Helvetica"/>
                <w:color w:val="333333"/>
                <w:sz w:val="23"/>
                <w:szCs w:val="23"/>
              </w:rPr>
              <w:t>Explain the ways in which culture, geography and history, in diverse human societies, interconnect with the past, present and future and affect intercultural interactions, conflicts and collaborations.</w:t>
            </w:r>
          </w:p>
          <w:p w:rsidR="00E23AD7" w:rsidRPr="00B75DF8" w:rsidRDefault="002D6C68" w:rsidP="00B75DF8">
            <w:pPr>
              <w:pStyle w:val="ListParagraph"/>
              <w:numPr>
                <w:ilvl w:val="0"/>
                <w:numId w:val="5"/>
              </w:numPr>
              <w:spacing w:after="22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75DF8">
              <w:rPr>
                <w:rFonts w:ascii="Helvetica" w:hAnsi="Helvetica" w:cs="Helvetica"/>
                <w:color w:val="333333"/>
                <w:sz w:val="23"/>
                <w:szCs w:val="23"/>
              </w:rPr>
              <w:t>Compose a scholarly exegetical research paper incorporating critical thinking skills, around</w:t>
            </w:r>
            <w:r w:rsidR="00B75DF8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B75DF8" w:rsidRPr="00B75DF8">
              <w:rPr>
                <w:rFonts w:ascii="Helvetica" w:hAnsi="Helvetica" w:cs="Helvetica"/>
                <w:color w:val="333333"/>
                <w:sz w:val="23"/>
                <w:szCs w:val="23"/>
                <w:lang w:val="en"/>
              </w:rPr>
              <w:t>knowledge and skill across contributing streams of theology, history, linguistics, social science, and strategy to work in diverse settings</w:t>
            </w:r>
            <w:r w:rsidR="00B75DF8">
              <w:rPr>
                <w:rFonts w:ascii="Helvetica" w:hAnsi="Helvetica" w:cs="Helvetica"/>
                <w:color w:val="333333"/>
                <w:sz w:val="23"/>
                <w:szCs w:val="23"/>
                <w:lang w:val="en"/>
              </w:rPr>
              <w:t>.</w:t>
            </w:r>
            <w:bookmarkStart w:id="0" w:name="_GoBack"/>
            <w:bookmarkEnd w:id="0"/>
          </w:p>
          <w:p w:rsidR="00E23AD7" w:rsidRDefault="00E23AD7" w:rsidP="00C54E57">
            <w:pPr>
              <w:spacing w:after="22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  <w:p w:rsidR="00E23AD7" w:rsidRDefault="00E23AD7" w:rsidP="00C54E57">
            <w:pPr>
              <w:spacing w:after="22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  <w:p w:rsidR="00C54E57" w:rsidRDefault="00C54E57" w:rsidP="00C54E57">
            <w:pPr>
              <w:spacing w:after="22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  <w:p w:rsidR="00BA09B8" w:rsidRPr="00BA09B8" w:rsidRDefault="00BA09B8" w:rsidP="00BA09B8">
            <w:pPr>
              <w:spacing w:after="225"/>
              <w:ind w:left="-96" w:hanging="366"/>
              <w:rPr>
                <w:rFonts w:ascii="Verdana" w:hAnsi="Verdana" w:cs="Helvetica"/>
                <w:color w:val="333333"/>
                <w:sz w:val="22"/>
                <w:szCs w:val="22"/>
              </w:rPr>
            </w:pPr>
            <w:r>
              <w:rPr>
                <w:rFonts w:ascii="Verdana" w:hAnsi="Verdana" w:cs="Helvetica"/>
                <w:color w:val="333333"/>
                <w:sz w:val="22"/>
                <w:szCs w:val="22"/>
              </w:rPr>
              <w:t xml:space="preserve"> </w:t>
            </w:r>
          </w:p>
          <w:p w:rsidR="00C54E57" w:rsidRPr="00C54E57" w:rsidRDefault="00E23AD7" w:rsidP="00C54E57">
            <w:pPr>
              <w:spacing w:after="22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C54E57">
              <w:rPr>
                <w:rFonts w:ascii="Source Sans Pro" w:hAnsi="Source Sans Pro" w:cs="Helvetica"/>
                <w:color w:val="444444"/>
              </w:rPr>
              <w:t>integrate content knowledge into critical thinking skills around issues of culture, cultural variation, and intercultural interactions, conflicts and collaborations</w:t>
            </w:r>
          </w:p>
        </w:tc>
      </w:tr>
    </w:tbl>
    <w:p w:rsidR="00C54E57" w:rsidRDefault="00C54E57" w:rsidP="008B7B65">
      <w:pPr>
        <w:shd w:val="clear" w:color="auto" w:fill="FFFFFF"/>
        <w:spacing w:after="150" w:line="375" w:lineRule="atLeast"/>
        <w:rPr>
          <w:rFonts w:ascii="Verdana" w:hAnsi="Verdana" w:cs="Arial"/>
          <w:color w:val="000000" w:themeColor="text1"/>
          <w:sz w:val="22"/>
          <w:szCs w:val="22"/>
        </w:rPr>
      </w:pPr>
    </w:p>
    <w:p w:rsidR="00C54E57" w:rsidRDefault="00C54E57" w:rsidP="008B7B65">
      <w:pPr>
        <w:shd w:val="clear" w:color="auto" w:fill="FFFFFF"/>
        <w:spacing w:after="150" w:line="375" w:lineRule="atLeast"/>
        <w:rPr>
          <w:rFonts w:ascii="Verdana" w:hAnsi="Verdana" w:cs="Arial"/>
          <w:color w:val="000000" w:themeColor="text1"/>
          <w:sz w:val="22"/>
          <w:szCs w:val="22"/>
        </w:rPr>
      </w:pPr>
    </w:p>
    <w:p w:rsidR="00C54E57" w:rsidRDefault="00C54E57" w:rsidP="008B7B65">
      <w:pPr>
        <w:shd w:val="clear" w:color="auto" w:fill="FFFFFF"/>
        <w:spacing w:after="150" w:line="375" w:lineRule="atLeast"/>
        <w:rPr>
          <w:rFonts w:ascii="Verdana" w:hAnsi="Verdana" w:cs="Arial"/>
          <w:color w:val="000000" w:themeColor="text1"/>
          <w:sz w:val="22"/>
          <w:szCs w:val="22"/>
        </w:rPr>
      </w:pPr>
    </w:p>
    <w:p w:rsidR="00C54E57" w:rsidRDefault="00C54E57" w:rsidP="008B7B65">
      <w:pPr>
        <w:shd w:val="clear" w:color="auto" w:fill="FFFFFF"/>
        <w:spacing w:after="150" w:line="375" w:lineRule="atLeast"/>
        <w:rPr>
          <w:rFonts w:ascii="Verdana" w:hAnsi="Verdana" w:cs="Arial"/>
          <w:color w:val="000000" w:themeColor="text1"/>
          <w:sz w:val="22"/>
          <w:szCs w:val="22"/>
        </w:rPr>
      </w:pPr>
    </w:p>
    <w:p w:rsidR="00C54E57" w:rsidRPr="00C54E57" w:rsidRDefault="00BA09B8" w:rsidP="00C54E57">
      <w:pPr>
        <w:numPr>
          <w:ilvl w:val="0"/>
          <w:numId w:val="4"/>
        </w:numPr>
        <w:spacing w:before="100" w:beforeAutospacing="1" w:after="100" w:afterAutospacing="1"/>
        <w:ind w:left="730"/>
        <w:rPr>
          <w:rFonts w:ascii="Source Sans Pro" w:hAnsi="Source Sans Pro" w:cs="Helvetica"/>
          <w:color w:val="444444"/>
        </w:rPr>
      </w:pPr>
      <w:r>
        <w:rPr>
          <w:rFonts w:ascii="Source Sans Pro" w:hAnsi="Source Sans Pro" w:cs="Helvetica"/>
          <w:color w:val="444444"/>
        </w:rPr>
        <w:t xml:space="preserve"> </w:t>
      </w:r>
    </w:p>
    <w:p w:rsidR="00C54E57" w:rsidRPr="00C54E57" w:rsidRDefault="00C54E57" w:rsidP="00C54E57">
      <w:pPr>
        <w:numPr>
          <w:ilvl w:val="0"/>
          <w:numId w:val="4"/>
        </w:numPr>
        <w:spacing w:before="100" w:beforeAutospacing="1" w:after="100" w:afterAutospacing="1"/>
        <w:ind w:left="730"/>
        <w:rPr>
          <w:rFonts w:ascii="Source Sans Pro" w:hAnsi="Source Sans Pro" w:cs="Helvetica"/>
          <w:color w:val="444444"/>
        </w:rPr>
      </w:pPr>
      <w:r w:rsidRPr="00C54E57">
        <w:rPr>
          <w:rFonts w:ascii="Source Sans Pro" w:hAnsi="Source Sans Pro" w:cs="Helvetica"/>
          <w:color w:val="444444"/>
        </w:rPr>
        <w:t>.</w:t>
      </w:r>
    </w:p>
    <w:p w:rsidR="00C54E57" w:rsidRPr="00C54E57" w:rsidRDefault="00C54E57" w:rsidP="00C54E57">
      <w:pPr>
        <w:numPr>
          <w:ilvl w:val="0"/>
          <w:numId w:val="4"/>
        </w:numPr>
        <w:spacing w:before="100" w:beforeAutospacing="1" w:after="100" w:afterAutospacing="1"/>
        <w:ind w:left="730"/>
        <w:rPr>
          <w:rFonts w:ascii="Source Sans Pro" w:hAnsi="Source Sans Pro" w:cs="Helvetica"/>
          <w:color w:val="444444"/>
        </w:rPr>
      </w:pPr>
      <w:r w:rsidRPr="00C54E57">
        <w:rPr>
          <w:rFonts w:ascii="Source Sans Pro" w:hAnsi="Source Sans Pro" w:cs="Helvetica"/>
          <w:color w:val="444444"/>
        </w:rPr>
        <w:t>demonstrate competence in intercultural communication skills essential to success in a globalized and multicultural workplace</w:t>
      </w:r>
    </w:p>
    <w:p w:rsidR="00C54E57" w:rsidRPr="00C54E57" w:rsidRDefault="00BA09B8" w:rsidP="00C54E57">
      <w:pPr>
        <w:numPr>
          <w:ilvl w:val="0"/>
          <w:numId w:val="4"/>
        </w:numPr>
        <w:spacing w:before="100" w:beforeAutospacing="1" w:after="100" w:afterAutospacing="1"/>
        <w:ind w:left="730"/>
        <w:rPr>
          <w:rFonts w:ascii="Source Sans Pro" w:hAnsi="Source Sans Pro" w:cs="Helvetica"/>
          <w:color w:val="444444"/>
        </w:rPr>
      </w:pPr>
      <w:r>
        <w:rPr>
          <w:rFonts w:ascii="Source Sans Pro" w:hAnsi="Source Sans Pro" w:cs="Helvetica"/>
          <w:color w:val="444444"/>
        </w:rPr>
        <w:t xml:space="preserve"> </w:t>
      </w:r>
    </w:p>
    <w:p w:rsidR="00C54E57" w:rsidRPr="00C54E57" w:rsidRDefault="00C54E57" w:rsidP="00C54E57">
      <w:pPr>
        <w:numPr>
          <w:ilvl w:val="0"/>
          <w:numId w:val="4"/>
        </w:numPr>
        <w:spacing w:before="100" w:beforeAutospacing="1" w:after="100" w:afterAutospacing="1"/>
        <w:ind w:left="730"/>
        <w:rPr>
          <w:rFonts w:ascii="Source Sans Pro" w:hAnsi="Source Sans Pro" w:cs="Helvetica"/>
          <w:color w:val="444444"/>
        </w:rPr>
      </w:pPr>
      <w:proofErr w:type="gramStart"/>
      <w:r w:rsidRPr="00C54E57">
        <w:rPr>
          <w:rFonts w:ascii="Source Sans Pro" w:hAnsi="Source Sans Pro" w:cs="Helvetica"/>
          <w:color w:val="444444"/>
        </w:rPr>
        <w:t>demonstrate</w:t>
      </w:r>
      <w:proofErr w:type="gramEnd"/>
      <w:r w:rsidRPr="00C54E57">
        <w:rPr>
          <w:rFonts w:ascii="Source Sans Pro" w:hAnsi="Source Sans Pro" w:cs="Helvetica"/>
          <w:color w:val="444444"/>
        </w:rPr>
        <w:t xml:space="preserve"> the ability to apply social science principles, humanities content knowledge and intercultural communication skills in the workplace.</w:t>
      </w:r>
    </w:p>
    <w:p w:rsidR="00C54E57" w:rsidRPr="000D4A77" w:rsidRDefault="00C54E57" w:rsidP="008B7B65">
      <w:pPr>
        <w:shd w:val="clear" w:color="auto" w:fill="FFFFFF"/>
        <w:spacing w:after="150" w:line="375" w:lineRule="atLeast"/>
        <w:rPr>
          <w:rFonts w:ascii="Verdana" w:hAnsi="Verdana" w:cs="Arial"/>
          <w:color w:val="000000" w:themeColor="text1"/>
          <w:sz w:val="22"/>
          <w:szCs w:val="22"/>
        </w:rPr>
      </w:pPr>
    </w:p>
    <w:p w:rsidR="007C5EFA" w:rsidRPr="007C5EFA" w:rsidRDefault="007C5EFA" w:rsidP="007C5EFA">
      <w:pPr>
        <w:tabs>
          <w:tab w:val="left" w:pos="360"/>
          <w:tab w:val="left" w:pos="1080"/>
          <w:tab w:val="right" w:pos="9315"/>
        </w:tabs>
        <w:spacing w:line="250" w:lineRule="atLeast"/>
        <w:rPr>
          <w:rFonts w:ascii="Verdana" w:hAnsi="Verdana"/>
          <w:sz w:val="22"/>
        </w:rPr>
      </w:pPr>
    </w:p>
    <w:p w:rsidR="00C54E57" w:rsidRDefault="00C54E57" w:rsidP="00DF3A69">
      <w:pPr>
        <w:pStyle w:val="ListParagraph"/>
        <w:numPr>
          <w:ilvl w:val="0"/>
          <w:numId w:val="3"/>
        </w:numPr>
        <w:tabs>
          <w:tab w:val="left" w:pos="360"/>
          <w:tab w:val="left" w:pos="1080"/>
          <w:tab w:val="right" w:pos="9315"/>
        </w:tabs>
        <w:spacing w:line="250" w:lineRule="atLeas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  <w:r w:rsidR="00DF3A69">
        <w:rPr>
          <w:rFonts w:ascii="Verdana" w:hAnsi="Verdana"/>
          <w:sz w:val="22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8486"/>
        <w:gridCol w:w="598"/>
      </w:tblGrid>
      <w:tr w:rsidR="00C54E57" w:rsidRPr="00C54E57" w:rsidTr="00C54E5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E57" w:rsidRPr="00C54E57" w:rsidRDefault="00C54E57" w:rsidP="00C54E57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E57" w:rsidRPr="00C54E57" w:rsidRDefault="00C54E57" w:rsidP="00C54E57">
            <w:pPr>
              <w:spacing w:after="22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E57" w:rsidRPr="00C54E57" w:rsidRDefault="00C54E57" w:rsidP="00C54E57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C54E57">
              <w:rPr>
                <w:rFonts w:ascii="Helvetica" w:hAnsi="Helvetica" w:cs="Helvetica"/>
                <w:b/>
                <w:bCs/>
                <w:color w:val="888888"/>
                <w:sz w:val="18"/>
                <w:szCs w:val="18"/>
                <w:bdr w:val="single" w:sz="6" w:space="2" w:color="CCCCCC" w:frame="1"/>
              </w:rPr>
              <w:t>ULO-1</w:t>
            </w:r>
          </w:p>
        </w:tc>
      </w:tr>
      <w:tr w:rsidR="00C54E57" w:rsidRPr="00C54E57" w:rsidTr="00C54E5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E57" w:rsidRPr="00C54E57" w:rsidRDefault="00C54E57" w:rsidP="00C54E57">
            <w:pPr>
              <w:rPr>
                <w:rFonts w:ascii="Helvetica" w:hAnsi="Helvetica" w:cs="Helvetica"/>
                <w:color w:val="333333"/>
                <w:sz w:val="33"/>
                <w:szCs w:val="33"/>
              </w:rPr>
            </w:pPr>
            <w:r w:rsidRPr="00C54E57">
              <w:rPr>
                <w:rFonts w:ascii="Helvetica" w:hAnsi="Helvetica" w:cs="Helvetica"/>
                <w:color w:val="333333"/>
                <w:sz w:val="33"/>
                <w:szCs w:val="33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E57" w:rsidRPr="00C54E57" w:rsidRDefault="00C54E57" w:rsidP="00C54E57">
            <w:pPr>
              <w:spacing w:after="22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C54E57">
              <w:rPr>
                <w:rFonts w:ascii="Helvetica" w:hAnsi="Helvetica" w:cs="Helvetica"/>
                <w:color w:val="333333"/>
                <w:sz w:val="23"/>
                <w:szCs w:val="23"/>
              </w:rPr>
              <w:t>Demonstrate integrative knowledge and skill across contributing streams of theology, history, linguistics, social science, and strategy to work in diverse settings.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E57" w:rsidRPr="00C54E57" w:rsidRDefault="00C54E57" w:rsidP="00C54E57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C54E57">
              <w:rPr>
                <w:rFonts w:ascii="Helvetica" w:hAnsi="Helvetica" w:cs="Helvetica"/>
                <w:b/>
                <w:bCs/>
                <w:color w:val="888888"/>
                <w:sz w:val="18"/>
                <w:szCs w:val="18"/>
                <w:bdr w:val="single" w:sz="6" w:space="2" w:color="CCCCCC" w:frame="1"/>
              </w:rPr>
              <w:t>ULO-3</w:t>
            </w:r>
          </w:p>
        </w:tc>
      </w:tr>
      <w:tr w:rsidR="00C54E57" w:rsidRPr="00C54E57" w:rsidTr="00C54E5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E57" w:rsidRPr="00C54E57" w:rsidRDefault="00C54E57" w:rsidP="00C54E57">
            <w:pPr>
              <w:rPr>
                <w:rFonts w:ascii="Helvetica" w:hAnsi="Helvetica" w:cs="Helvetica"/>
                <w:color w:val="333333"/>
                <w:sz w:val="33"/>
                <w:szCs w:val="33"/>
              </w:rPr>
            </w:pPr>
            <w:r w:rsidRPr="00C54E57">
              <w:rPr>
                <w:rFonts w:ascii="Helvetica" w:hAnsi="Helvetica" w:cs="Helvetica"/>
                <w:color w:val="333333"/>
                <w:sz w:val="33"/>
                <w:szCs w:val="33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E57" w:rsidRPr="00C54E57" w:rsidRDefault="00C54E57" w:rsidP="00C54E57">
            <w:pPr>
              <w:spacing w:after="22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C54E57">
              <w:rPr>
                <w:rFonts w:ascii="Helvetica" w:hAnsi="Helvetica" w:cs="Helvetica"/>
                <w:color w:val="333333"/>
                <w:sz w:val="23"/>
                <w:szCs w:val="23"/>
              </w:rPr>
              <w:t>Assess cultural and contextual realities in order to develop Christian perspectives and responses toward cross-cultural problems.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E57" w:rsidRPr="00C54E57" w:rsidRDefault="00C54E57" w:rsidP="00C54E57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C54E57">
              <w:rPr>
                <w:rFonts w:ascii="Helvetica" w:hAnsi="Helvetica" w:cs="Helvetica"/>
                <w:b/>
                <w:bCs/>
                <w:color w:val="888888"/>
                <w:sz w:val="18"/>
                <w:szCs w:val="18"/>
                <w:bdr w:val="single" w:sz="6" w:space="2" w:color="CCCCCC" w:frame="1"/>
              </w:rPr>
              <w:t>ULO-1</w:t>
            </w:r>
          </w:p>
        </w:tc>
      </w:tr>
      <w:tr w:rsidR="00C54E57" w:rsidRPr="00C54E57" w:rsidTr="00C54E5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E57" w:rsidRPr="00C54E57" w:rsidRDefault="00C54E57" w:rsidP="00C54E57">
            <w:pPr>
              <w:rPr>
                <w:rFonts w:ascii="Helvetica" w:hAnsi="Helvetica" w:cs="Helvetica"/>
                <w:color w:val="333333"/>
                <w:sz w:val="33"/>
                <w:szCs w:val="33"/>
              </w:rPr>
            </w:pPr>
            <w:r w:rsidRPr="00C54E57">
              <w:rPr>
                <w:rFonts w:ascii="Helvetica" w:hAnsi="Helvetica" w:cs="Helvetica"/>
                <w:color w:val="333333"/>
                <w:sz w:val="33"/>
                <w:szCs w:val="33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E57" w:rsidRPr="00C54E57" w:rsidRDefault="00C54E57" w:rsidP="00C54E57">
            <w:pPr>
              <w:spacing w:after="22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C54E57">
              <w:rPr>
                <w:rFonts w:ascii="Helvetica" w:hAnsi="Helvetica" w:cs="Helvetica"/>
                <w:color w:val="333333"/>
                <w:sz w:val="23"/>
                <w:szCs w:val="23"/>
              </w:rPr>
              <w:t>Express the significance of growing in Christ-like character as a central component of preparation for service across a broad range of vocations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4E57" w:rsidRPr="00C54E57" w:rsidRDefault="00C54E57" w:rsidP="00C54E57">
            <w:pPr>
              <w:rPr>
                <w:sz w:val="20"/>
                <w:szCs w:val="20"/>
              </w:rPr>
            </w:pPr>
          </w:p>
        </w:tc>
      </w:tr>
    </w:tbl>
    <w:p w:rsidR="00DF3A69" w:rsidRPr="00DF3A69" w:rsidRDefault="00DF3A69" w:rsidP="00DF3A69">
      <w:pPr>
        <w:pStyle w:val="ListParagraph"/>
        <w:numPr>
          <w:ilvl w:val="0"/>
          <w:numId w:val="3"/>
        </w:numPr>
        <w:tabs>
          <w:tab w:val="left" w:pos="360"/>
          <w:tab w:val="left" w:pos="1080"/>
          <w:tab w:val="right" w:pos="9315"/>
        </w:tabs>
        <w:spacing w:line="250" w:lineRule="atLeas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sectPr w:rsidR="00DF3A69" w:rsidRPr="00DF3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61DBD"/>
    <w:multiLevelType w:val="hybridMultilevel"/>
    <w:tmpl w:val="130C2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C6361E"/>
    <w:multiLevelType w:val="multilevel"/>
    <w:tmpl w:val="A628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0253E"/>
    <w:multiLevelType w:val="hybridMultilevel"/>
    <w:tmpl w:val="DA301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C1D8C"/>
    <w:multiLevelType w:val="hybridMultilevel"/>
    <w:tmpl w:val="32369ACE"/>
    <w:lvl w:ilvl="0" w:tplc="AE4C4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766F2E"/>
    <w:multiLevelType w:val="hybridMultilevel"/>
    <w:tmpl w:val="F8601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FA"/>
    <w:rsid w:val="00076276"/>
    <w:rsid w:val="00082C28"/>
    <w:rsid w:val="00172778"/>
    <w:rsid w:val="002D6C68"/>
    <w:rsid w:val="002E1E87"/>
    <w:rsid w:val="003E796C"/>
    <w:rsid w:val="0043470D"/>
    <w:rsid w:val="004E1126"/>
    <w:rsid w:val="007C5EFA"/>
    <w:rsid w:val="008B7B65"/>
    <w:rsid w:val="008D34F4"/>
    <w:rsid w:val="00B75DF8"/>
    <w:rsid w:val="00BA09B8"/>
    <w:rsid w:val="00C54E57"/>
    <w:rsid w:val="00CC4B9F"/>
    <w:rsid w:val="00DF3A69"/>
    <w:rsid w:val="00E2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C06DB-FCC8-48E8-A6E5-06B5C5C3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F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E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FA"/>
    <w:pPr>
      <w:ind w:left="720"/>
    </w:pPr>
    <w:rPr>
      <w:rFonts w:ascii="Times" w:hAnsi="Times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5E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2074">
                      <w:marLeft w:val="10"/>
                      <w:marRight w:val="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03330">
                          <w:marLeft w:val="0"/>
                          <w:marRight w:val="0"/>
                          <w:marTop w:val="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A8FB4056.dotm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Evangel University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Wellborn, Linda</dc:creator>
  <cp:keywords/>
  <dc:description/>
  <cp:lastModifiedBy>Wellborn, Linda</cp:lastModifiedBy>
  <cp:revision>2</cp:revision>
  <dcterms:created xsi:type="dcterms:W3CDTF">2016-06-22T21:25:00Z</dcterms:created>
  <dcterms:modified xsi:type="dcterms:W3CDTF">2016-06-22T21:25:00Z</dcterms:modified>
</cp:coreProperties>
</file>